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2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黄山市人民政府办公室关于印发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 w:val="0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黄山市促进工业转型发展若干政策的通知</w:t>
      </w:r>
    </w:p>
    <w:bookmarkEnd w:id="2"/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16" w:firstLineChars="200"/>
        <w:jc w:val="center"/>
        <w:textAlignment w:val="auto"/>
        <w:rPr>
          <w:rFonts w:hint="default"/>
        </w:rPr>
      </w:pPr>
      <w:r>
        <w:rPr>
          <w:rFonts w:hint="default" w:ascii="Times New Roman" w:hAnsi="Times New Roman" w:eastAsia="方正仿宋_GBK" w:cs="Times New Roman"/>
          <w:spacing w:val="-6"/>
          <w:sz w:val="32"/>
          <w:szCs w:val="32"/>
        </w:rPr>
        <w:t>黄政办〔2024〕16号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pacing w:val="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jc w:val="left"/>
        <w:textAlignment w:val="auto"/>
        <w:rPr>
          <w:rFonts w:hint="default" w:ascii="Times New Roman" w:hAnsi="Times New Roman" w:eastAsia="方正仿宋_GBK" w:cs="Times New Roman"/>
          <w:spacing w:val="6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6"/>
          <w:sz w:val="32"/>
          <w:szCs w:val="32"/>
        </w:rPr>
        <w:t>各区、县人民政府，黄山风景区管委会，黄山高新区管委会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</w:rPr>
        <w:t>黄山现代服务业产业园管委会，</w:t>
      </w:r>
      <w:r>
        <w:rPr>
          <w:rFonts w:hint="default" w:ascii="Times New Roman" w:hAnsi="Times New Roman" w:eastAsia="方正仿宋_GBK" w:cs="Times New Roman"/>
          <w:spacing w:val="6"/>
          <w:sz w:val="32"/>
          <w:szCs w:val="32"/>
          <w:lang w:eastAsia="zh-CN"/>
        </w:rPr>
        <w:t>市政府各部门、各直属机构：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《黄山市促进工业转型发展若干政策》已经市政府第六十七次常务会议审议通过，现印发给你们，请遵照执行。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right="420" w:rightChars="200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黄山市人民政府办公室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jc w:val="right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val="en-US" w:eastAsia="zh-CN" w:bidi="ar-SA"/>
        </w:rPr>
        <w:t xml:space="preserve">                         </w:t>
      </w:r>
      <w:r>
        <w:rPr>
          <w:rFonts w:hint="default" w:ascii="Times New Roman" w:hAnsi="Times New Roman" w:eastAsia="方正仿宋_GBK" w:cs="Times New Roman"/>
          <w:spacing w:val="-6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Times New Roman" w:hAnsi="Times New Roman" w:eastAsia="方正仿宋_GBK" w:cs="Times New Roman"/>
          <w:spacing w:val="-6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pacing w:val="-6"/>
          <w:kern w:val="2"/>
          <w:sz w:val="32"/>
          <w:szCs w:val="32"/>
          <w:lang w:val="en-US" w:eastAsia="zh-CN" w:bidi="ar-SA"/>
        </w:rPr>
        <w:t>2024年12月</w:t>
      </w:r>
      <w:r>
        <w:rPr>
          <w:rFonts w:hint="default" w:ascii="Times New Roman" w:hAnsi="Times New Roman" w:eastAsia="方正仿宋_GBK" w:cs="Times New Roman"/>
          <w:spacing w:val="-6"/>
          <w:kern w:val="2"/>
          <w:sz w:val="32"/>
          <w:szCs w:val="32"/>
          <w:lang w:val="en-US" w:eastAsia="zh-CN" w:bidi="ar-SA"/>
        </w:rPr>
        <w:t>30</w:t>
      </w:r>
      <w:r>
        <w:rPr>
          <w:rFonts w:hint="default" w:ascii="Times New Roman" w:hAnsi="Times New Roman" w:eastAsia="方正仿宋_GBK" w:cs="Times New Roman"/>
          <w:spacing w:val="-6"/>
          <w:kern w:val="2"/>
          <w:sz w:val="32"/>
          <w:szCs w:val="32"/>
          <w:lang w:val="en-US" w:eastAsia="zh-CN" w:bidi="ar-SA"/>
        </w:rPr>
        <w:t>日</w:t>
      </w:r>
      <w:r>
        <w:rPr>
          <w:rFonts w:hint="eastAsia" w:ascii="Times New Roman" w:hAnsi="Times New Roman" w:eastAsia="方正仿宋_GBK" w:cs="Times New Roman"/>
          <w:spacing w:val="-6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K" w:cs="Times New Roman"/>
          <w:spacing w:val="-6"/>
          <w:kern w:val="2"/>
          <w:sz w:val="32"/>
          <w:szCs w:val="32"/>
          <w:lang w:val="en-US" w:eastAsia="zh-CN" w:bidi="ar-SA"/>
        </w:rPr>
        <w:t>　　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（此件公开发布）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</w:rPr>
      </w:pPr>
    </w:p>
    <w:p>
      <w:pPr>
        <w:rPr>
          <w:rFonts w:hint="default"/>
        </w:rPr>
      </w:pPr>
      <w:r>
        <w:rPr>
          <w:rFonts w:hint="default"/>
        </w:rPr>
        <w:br w:type="page"/>
      </w:r>
    </w:p>
    <w:p>
      <w:pPr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</w:rPr>
        <w:t>黄山市促进工业转型发展若干政策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center"/>
        <w:textAlignment w:val="auto"/>
        <w:rPr>
          <w:rFonts w:hint="default" w:ascii="Times New Roman" w:hAnsi="Times New Roman" w:eastAsia="方正仿宋_GBK" w:cs="Times New Roman"/>
          <w:bCs/>
          <w:color w:val="auto"/>
          <w:spacing w:val="0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eastAsia="zh-CN"/>
        </w:rPr>
        <w:t>为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</w:rPr>
        <w:t>加快推进新型工业化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</w:rPr>
        <w:t>建设智能绿色制造强市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</w:rPr>
        <w:t>结合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eastAsia="zh-CN"/>
        </w:rPr>
        <w:t>我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</w:rPr>
        <w:t>市实际，制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eastAsia="zh-CN"/>
        </w:rPr>
        <w:t>定如下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</w:rPr>
        <w:t>政策</w:t>
      </w:r>
      <w:r>
        <w:rPr>
          <w:rFonts w:hint="default" w:ascii="Times New Roman" w:hAnsi="Times New Roman" w:eastAsia="方正仿宋_GBK" w:cs="Times New Roman"/>
          <w:color w:val="auto"/>
          <w:spacing w:val="0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一、产业政策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（一）</w:t>
      </w:r>
      <w:r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  <w:t>支持金融协同放大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1．支持信用类贷款。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鼓励银行机构对符合亩均效益综合评价A类、B类、C类企业分别给予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" w:eastAsia="zh-CN"/>
        </w:rPr>
        <w:t>最高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不超过2000万、1000万、300万授信额度。对经银行机构综合评价的优质企业，授信额度可突破上述标准。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对制造业企业新增一年期及以上信用贷款，对当年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新增额度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并完成投放的部分，按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同期LPR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40%贴息，单个项目贴息不超过2年，最高不超过50万元。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2．支持技改专项贷款。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对纳入省导向计划项目库的项目，按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同期LPR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40%贴息，单个项目贴息不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超过2年，最高不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超过100万元。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3．支持重大项目建设。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总投资5000万元以上高技术、战新制造业项目，年度新增固定资产投资贷款（一年期及以上）1000万元以上，按同期LPR40%贴息，单个项目贴息不超过2年、最高不超过100万元；无银行贷款且年度设备投资额超过1000万元的，最高按年度设备投资额10%一次性补助，单个项目最高不超过100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4．支持科技型企业贷款。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对上一年度通过认定的高新技术企业的实际贷款，按同期LPR20%贴息，最高不超过50万元。对省级及以上科技企业孵化器内在孵科技型中小企业的实际贷款，按同期LPR50%贴息，最高不超过10万元。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5．支持知识产权质押贷款。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对企业发明专利权质押贷款500万元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及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以下部分，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按同期LPR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50%贴息。对企业商标权质押融资不少于300万元的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每笔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贴息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1.2万元。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6．支持项目贷款担保。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对为技改项目提供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政策性融资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担保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业务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且年化担保费率不超过1%的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担保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机构，按不超过贷款实际发生额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0.5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%补助，单个项目补助不超过2年，最高不超过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50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7．扩大产业基金规模。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根据年度预算安排注入市级政府产业投资基金，原则上投向黄山市范围内符合产业发展方向的重点工业项目。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8．支持基金产业投资。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鼓励股权投资管理机构在我市投资具有法人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资格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且符合我市重点产业发展方向的工业项目，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不超过每年度实际投资额2%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补助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给所投企业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，单个项目补助最高不超过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100万元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9</w:t>
      </w: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" w:eastAsia="zh-CN" w:bidi="ar-SA"/>
        </w:rPr>
        <w:t>．鼓励企业加大新兴产业布局。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" w:eastAsia="zh-CN"/>
        </w:rPr>
        <w:t>对单个企业年度投资布局高技术、战新制造业项目3个以上，且落地项目完整年度累计完成固定资产投资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1亿元以上，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" w:eastAsia="zh-CN"/>
        </w:rPr>
        <w:t>根据该企业累计实际出资额，按同期LPR50%补助，最高不超过100万元。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10．支持上市挂牌企业股权融资。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挂牌企业引进私募股权基金投资或通过“新三板”及“四板”等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股权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融资，按首次股权融资额1%奖励，单个企业不超过70万元；上市公司股权融资按融资额1%奖励企业高管，单个企业每次股权融资奖励最高不超过100万元。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11．支持创新券推广应用。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</w:rPr>
        <w:t>对研发活动、研发机构清零的企业，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</w:rPr>
        <w:t>不超过研发费用10%补助，最高不超过10万元。对高新技术企业投保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的相关保险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</w:rPr>
        <w:t>，按不超过实际支出保费30%补助，最高不超过30万元。对购买检验检测、大型仪器设备共享、技术研发服务等科技服务的高新技术企业、国家科技型中小企业，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</w:rPr>
        <w:t>不超过支出费用20%补助，检验检测、大型仪器设备共享补助最高不超过10万元，技术研发服务最高不超过30万元，每家企业每年不超过30万元。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12．支持企业上市。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在沪深北交易所首次公开发行股票并上市的企业，分阶段奖励1000万元，其中：</w:t>
      </w:r>
      <w:bookmarkStart w:id="0" w:name="OLE_LINK1"/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与中介机构签订合作协议并完成规范性股改后</w:t>
      </w:r>
      <w:bookmarkEnd w:id="0"/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兑现100万元，报安徽证监局辅导备案受理后兑现150万元，被沪深北交易所受理后兑现350万元，成功上市后兑现400万元。境外主要交易所首次公开发行股票并上市的，一次性奖励1000万元。上市公司迁入黄山市实质运营的，10年内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给予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每年100万元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奖励。对“新三板”挂牌企业转板上市的，参照上述标准补齐相应奖励。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13．支持企业新三板挂牌。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对在“新三板”基础层挂牌的企业，分阶段奖励150万元，其中：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与中介机构签订合作协议并完成规范性股改后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兑现40万元，被全国中小企业股份转让系统公司受理并出具受理通知书兑现50万元，实现挂牌兑现60万元。对直接在“新三板”创新层挂牌的企业，参照上述阶段奖励200万元，对基础层晋层至创新层的企业，参照创新层挂牌标准补齐。对“新三板”已挂牌企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3年内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给予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每年30万元的持续督导费用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补助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14．支持安徽省区域性股权市场挂牌。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企业经规范性股改后在“四板”挂牌的，一次性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40万元；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企业未经规范性股改在“四板”挂牌的，一次性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5万元。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15．支持企业债券融资。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对首次成功完成债券融资的民营企业，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发行规模1%奖励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单个企业最高不超过70万元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此奖励与省债券融资市县财政贴息不重复享受。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  <w:t>（二）支持产业转型升级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16．支持数字化转型升级。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对总投资1000万元以上的技改项目，按企业设备购置及安装、软件购置、网络建设等软硬件投入不超过15%补助，最高不超过200万元。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17．支持制造业绿色化改造。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对列入安徽省绿色制造项目投资导向计划，固定资产投资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500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万元以上，且当年完成项目投资并竣工验收的节能环保项目，按设备投资额不超过15%补助，最高不超过50万元。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18．</w:t>
      </w: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" w:eastAsia="zh-CN" w:bidi="ar-SA"/>
        </w:rPr>
        <w:t>支持企业绿色发展。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" w:eastAsia="zh-CN"/>
        </w:rPr>
        <w:t>对通过省、市评审的“一企一策”节能减煤降碳诊断项目，最高按项目总投资10%补助，单个企业最高不超过10万元。对当年新购买绿证的企业，最高按10元/张补助，单个企业最高不超过10万元。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19．支持工业互联网建设应用。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对当年建成并投入使用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的公共工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业互联网平台，总投资在500万元以上的，按平台投资额不超过15%补助，最高不超过100万元。对当年建成并投入使用的企业级工业互联网平台或场景应用项目，总投资在30万元以上的，按投资额不超过15%补助，最高不超过50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20．支持产业集聚。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获得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省级中小企业特色产业集群、省级先进制造业集群等集群类称号的地区，给予申报主体奖励50万元，不重复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21．支持产业链建设。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对现有企业通过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合作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促进高技术、战新产业领域的上下游制造业企业落地集聚，且单个落地企业完整年度完成固定资产投资2000万以上或实现产值2000万以上，每新落地一个企业最高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补助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20万元、单个企业累计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补助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最高不超过60万元。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22</w:t>
      </w: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" w:eastAsia="zh-CN" w:bidi="ar-SA"/>
        </w:rPr>
        <w:t>．</w:t>
      </w: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支持产业生态建设。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对符合高技术、战新产业发展方面示范效应明显的产业微生态园区，最高按公共服务平台建设年度固定资产投资额5%补助，最高不超过100万元。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23．</w:t>
      </w: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" w:eastAsia="zh-CN"/>
        </w:rPr>
        <w:t>支持高技术和战新产业企业培育。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" w:eastAsia="zh-CN" w:bidi="ar-SA"/>
        </w:rPr>
        <w:t>对首次被纳入高技术制造业统计且高技术产品产值达到2000万元，或首次被认定为战新产业企业，奖励10万元。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24．支持高技术和战新产业企业做大做强。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对年度产值超5000万、同比增长20%以上，或年度产值超亿元、同比增长15%以上的高技术、战新制造业企业，最高按企业年度新增高技术产值或战新产业产值5‰奖励，单个企业最高不超过50万元。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25．支持知识产权创造。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对为高价值发明专利培育做出突出贡献的单位，分档对每家最高不超过10万元资助，每年奖励不超过10家。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  <w:t>（三）支持科技创新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26．支持重大创新平台建设。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对新认定的省级以上工程研究中心（工程实验室）、产业创新中心，按国家级50万元、省级30万元奖励。对新认定的科技企业孵化器，按最高不超过国家级50万元、省级20万元奖励。对新认定的省级实验室、产业创新研究院、院士工作站、高层次科技人才团队等创新平台和团队，按最高不超过100万元奖励。支持高校院所、技术转移机构与我市共建技术转移中心或设立分中心，按协议补助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kern w:val="2"/>
          <w:sz w:val="32"/>
          <w:szCs w:val="32"/>
          <w:highlight w:val="none"/>
          <w:shd w:val="clear" w:color="auto" w:fill="FFFFFF"/>
          <w:lang w:val="en-US" w:eastAsia="zh-CN" w:bidi="ar-SA"/>
        </w:rPr>
        <w:t>27．支持加大研发投入。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对享受研发费用加计扣除政策，且研发经费支出（不低于500万元，增幅不低于全市平均水平）前30名的企业，给予最高不超过30万元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  <w:lang w:eastAsia="zh-CN"/>
        </w:rPr>
        <w:t>补助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。对上年度研发经费支出500万元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—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1000万元、1000万元及以上，且同比增幅分别达到30%、20%的高校、科研机构，给予最高不超过20万元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  <w:lang w:eastAsia="zh-CN"/>
        </w:rPr>
        <w:t>补助。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对高校、科研机构年度研发经费支出首次超过300万元的，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  <w:lang w:eastAsia="zh-CN"/>
        </w:rPr>
        <w:t>补助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</w:rPr>
        <w:t>5万元。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28．支持重大关键技术攻关。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通过“揭榜挂帅”等方式开展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 w:bidi="ar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科技研发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 w:bidi="ar"/>
        </w:rPr>
        <w:t>项目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kern w:val="0"/>
          <w:sz w:val="32"/>
          <w:szCs w:val="32"/>
          <w:highlight w:val="none"/>
          <w:lang w:bidi="ar"/>
        </w:rPr>
        <w:t>，单个项目资助最高不超过100万元。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29．支持知识产权质量提升。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新认定的国家级和省级专利奖、国家知识产权示范优势企业、国家驰名商标、新获批的地理标志保护产品、国家地理标志产品保护示范区、地理标志商标、省级以上专利导航服务项目及其衍生企业专利微导航项目、省级以上课题研究项目，分别分档一次性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不超过30万元。对新开展“贯标”并完成认证的企业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一次性奖励2万元。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30．支持知识产权保护。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对驰名商标维权保护项目、高价值专利维权保护项目、知识产权侵权纠纷海外维权项目，维权成功的；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省级以上海外知识产权风险预警项目、知识产权维权援助分中心、海外知识产权纠纷应对工作站，考核验收合格的，经评定，分别一次性奖励不超过20万元。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31．支持知识产权公共服务建设。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新认定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技术与创新支持中心、高校国家知识产权信息服务中心、国家级知识产权信息公共服务网点，分别一次性奖励20万元；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新认定的省级知识产权信息公共服务网点、维权援助工作站，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分别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一次性奖励10万元。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建成知识产权信息公共服务平台投入使用并且全覆盖黄山市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国家知识产权示范优势企业，一次性奖励20万元。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  <w:t>（四）支持品牌建设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32．支持实施标准战略。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对新发布或修订国际、国家、行业和安徽省地方标准的制定单位，首次获评国家级或省级标准创新贡献奖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标准化示范试点项目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标准领跑者单位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技术标准创新基地（中心）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，分别分档一次性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不超过50万元。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33．支持质量品牌建设。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对获得中国质量奖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及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提名奖、安徽省政府质量奖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及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提名奖的组织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个人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，分别一次性奖励100万元、50万元、50万元、30万元。对评定为皖美品牌示范企业的，一次性奖励5万元。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default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  <w:t>（五）支持素质提升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34．支持企业争创试点示范。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对获得工业和信息化部新认定国家级称号的主体，奖励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30万元。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35．支持企业入规。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对新建投产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且首次入规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的工业企业，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20万元；对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首次入规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的“小升规”工业企业，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10万元。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36．支持制造业与互联网融合发展。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对两化融合评定等级达到1A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2A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3A及以上的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，分别奖励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15万元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20万元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25万元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37．支持先进光伏和新型储能产业发展。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对新进入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工业和信息化部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《光伏制造行业规范条件》公告的企业，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奖励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30万元。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38．支持企业平台运行。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对各区县、黄山高新区支持企业云服务平台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联网直报平台建设，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年度考核奖励，总额最高不超过80万元。</w:t>
      </w:r>
    </w:p>
    <w:p>
      <w:pPr>
        <w:pStyle w:val="5"/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after="0" w:line="590" w:lineRule="exact"/>
        <w:ind w:firstLine="642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/>
        </w:rPr>
        <w:t>39</w:t>
      </w: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．</w:t>
      </w: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  <w:highlight w:val="none"/>
          <w:shd w:val="clear" w:color="auto" w:fill="FFFFFF"/>
        </w:rPr>
        <w:t>开展政策宣贯。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对为企业开展政策宣贯、项目服务的中小企业服务机构，给予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每服务1户规上工业企业400元补助。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b w:val="0"/>
          <w:bCs/>
          <w:color w:val="auto"/>
          <w:spacing w:val="0"/>
          <w:kern w:val="0"/>
          <w:sz w:val="32"/>
          <w:szCs w:val="32"/>
          <w:highlight w:val="none"/>
        </w:rPr>
        <w:t>（六）其他事项</w:t>
      </w:r>
    </w:p>
    <w:p>
      <w:pPr>
        <w:keepNext w:val="0"/>
        <w:keepLines w:val="0"/>
        <w:pageBreakBefore w:val="0"/>
        <w:widowControl w:val="0"/>
        <w:tabs>
          <w:tab w:val="left" w:pos="1185"/>
        </w:tabs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</w:rPr>
        <w:t>1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  <w:t>每年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  <w:t>不超过预算总额的3%单列工业发展专项经费，用于开展项目评审、课题研究、智库建设、企业培训、参会参展、产业链对接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  <w:t>政策宣传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及统计监测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2．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  <w:t>同一项目在同一年度不得重复享受同级政策支持，奖补资金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  <w:t>就高不就低原则予以兑现。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3．本政策条款与上级政策不符的，以上级政策为准。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val="en-US" w:eastAsia="zh-CN"/>
        </w:rPr>
        <w:t>4．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  <w:t>市政府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审定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  <w:t>的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其他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</w:rPr>
        <w:t>事项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pacing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二、申报审核程序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</w:rPr>
        <w:t>（一）</w:t>
      </w:r>
      <w:bookmarkStart w:id="1" w:name="OLE_LINK2"/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各主管部门</w:t>
      </w:r>
      <w:bookmarkEnd w:id="1"/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列出年度资金安排清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单，市工业和信息化局会同市财政局汇总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形成年度资金预算建议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报市政府审定。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</w:rPr>
        <w:t>（二）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各主管部门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分别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编制申报指南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，明确项目支持范围、支持方式、项目申报、审核及资金拨付流程，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会同市财政局发布年度申报通知。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color w:val="auto"/>
          <w:spacing w:val="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（三）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各主管部门会同市财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政局将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专项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资金安排情况报市政府同意，按程序拨付相关资金。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三、保障措施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</w:rPr>
        <w:t>（一）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市工业和信息化局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、市财政局负责专项资金的部署、协调等工作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；各主管部门负责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项目实施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资金使用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绩效管理、项目监管等；市财政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局负责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专项资金的预算安排、资金拨付和监督检查等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股权投资由基金管理人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按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规定程序实施投资和管理。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</w:rPr>
        <w:t>（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  <w:lang w:eastAsia="zh-CN"/>
        </w:rPr>
        <w:t>二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专项资金在预算额度内实行项目间平衡调剂，统筹安排。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按财权和事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权匹配原则，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本政策涉及的落实省级配套政策，根据企业隶属关系由同级财政部门兑现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。对市级奖补对象兑现100%，对屯溪区、黄山高新区奖补对象兑现60%，对其他区县奖补对象兑现40%；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支持重大关键技术攻关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开展政策宣贯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条款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市级兑现100%；知识产权条款市级兑现40%。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各地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要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结合实际对市级政策进行有效跟进补充，形成叠加性政策体系。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四、监督管理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</w:rPr>
        <w:t>（一）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获资金支持的单位要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严格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规范资金使用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确保专项资金专款专用。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</w:rPr>
        <w:t>（二）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各主管部门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对资金使用实行预算绩效管理，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组织开展绩效评价。市财政局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  <w:lang w:eastAsia="zh-CN"/>
        </w:rPr>
        <w:t>对部门绩效评价进行监管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kern w:val="0"/>
          <w:sz w:val="32"/>
          <w:szCs w:val="32"/>
          <w:highlight w:val="none"/>
        </w:rPr>
        <w:t>（三）</w:t>
      </w:r>
      <w:r>
        <w:rPr>
          <w:rFonts w:hint="default" w:ascii="Times New Roman" w:hAnsi="Times New Roman" w:eastAsia="方正仿宋_GBK" w:cs="Times New Roman"/>
          <w:bCs/>
          <w:color w:val="auto"/>
          <w:spacing w:val="0"/>
          <w:sz w:val="32"/>
          <w:szCs w:val="32"/>
          <w:highlight w:val="none"/>
        </w:rPr>
        <w:t>对弄虚作假骗取资金的，除收回资金外，取消该单位今后3年申请财政专项资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金资格，并追究有关人员责任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；涉嫌违法犯罪的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，移交司法机关处理。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</w:pPr>
      <w:r>
        <w:rPr>
          <w:rFonts w:hint="default" w:ascii="方正黑体_GBK" w:hAnsi="方正黑体_GBK" w:eastAsia="方正黑体_GBK" w:cs="方正黑体_GBK"/>
          <w:b w:val="0"/>
          <w:bCs w:val="0"/>
          <w:color w:val="auto"/>
          <w:spacing w:val="0"/>
          <w:sz w:val="32"/>
          <w:szCs w:val="32"/>
          <w:highlight w:val="none"/>
          <w:shd w:val="clear" w:color="auto" w:fill="FFFFFF"/>
          <w:lang w:eastAsia="zh-CN"/>
        </w:rPr>
        <w:t>五、附则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本政策自202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日起施行，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试行两年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</w:rPr>
        <w:t>。《黄山市促进新型工业化发展专项资金管理办法》（黄政办〔2020〕17号）、《黄山市支持“三重一创”建设若干政策（修订）》（黄政办〔2020〕28号）、《黄山市支持科技创新若干政策》（黄政办〔2020〕25号）、《黄山市激励企业上市挂牌和直接融资若干政策规定》（黄政办〔2021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〕2号）、《黄山市促进质量提升若干政策》（黄政办〔2022〕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2号）、《黄山市支持质量发展和品牌创建若干政策》（黄政办〔202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〕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highlight w:val="none"/>
          <w:lang w:eastAsia="zh-CN"/>
        </w:rPr>
        <w:t>号）同时废止。</w:t>
      </w:r>
    </w:p>
    <w:p>
      <w:pPr>
        <w:keepNext w:val="0"/>
        <w:keepLines w:val="0"/>
        <w:pageBreakBefore w:val="0"/>
        <w:widowControl w:val="0"/>
        <w:kinsoku/>
        <w:wordWrap w:val="0"/>
        <w:overflowPunct w:val="0"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sectPr>
      <w:headerReference r:id="rId3" w:type="default"/>
      <w:footerReference r:id="rId4" w:type="default"/>
      <w:pgSz w:w="11906" w:h="16838"/>
      <w:pgMar w:top="1701" w:right="1474" w:bottom="1474" w:left="1587" w:header="1020" w:footer="0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287" w:usb1="00000000" w:usb2="00000000" w:usb3="00000000" w:csb0="4000009F" w:csb1="DFD74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Cambria Math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方正姚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细黑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魏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行楷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left="0" w:leftChars="0" w:firstLine="0" w:firstLineChars="0"/>
      <w:rPr>
        <w:rFonts w:hint="eastAsia" w:eastAsia="仿宋"/>
        <w:sz w:val="32"/>
        <w:szCs w:val="48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-1905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0.15pt;height:144pt;width:144pt;mso-position-horizontal:outside;mso-position-horizontal-relative:margin;mso-wrap-style:none;z-index:251662336;mso-width-relative:page;mso-height-relative:page;" filled="f" stroked="f" coordsize="21600,21600" o:gfxdata="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FgAAAGRycy9QSwECFAAUAAAACACHTuJA&#10;8R9LrNMAAAAGAQAADwAAAAAAAAABACAAAAA4AAAAZHJzL2Rvd25yZXYueG1sUEsBAhQAFAAAAAgA&#10;h07iQLEyC0YUAgAAGQQAAA4AAAAAAAAAAQAgAAAAOA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1"/>
      <w:tabs>
        <w:tab w:val="left" w:pos="5419"/>
      </w:tabs>
      <w:ind w:left="4788" w:leftChars="2280" w:firstLine="6400" w:firstLineChars="2000"/>
      <w:rPr>
        <w:rFonts w:hint="eastAsia" w:eastAsia="仿宋"/>
        <w:sz w:val="32"/>
        <w:szCs w:val="48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82550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6.5pt;height:0.15pt;width:442.25pt;z-index:251661312;mso-width-relative:page;mso-height-relative:page;" filled="f" stroked="t" coordsize="21600,21600" o:gfxdata="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WAAAAZHJzL1BLAQIUABQAAAAIAIdO4kCNOlYA1AAAAAcBAAAP&#10;AAAAAAAAAAEAIAAAADgAAABkcnMvZG93bnJldi54bWxQSwECFAAUAAAACACHTuJArqM64M0BAABn&#10;AwAADgAAAAAAAAABACAAAAA5AQAAZHJzL2Uyb0RvYy54bWxQSwUGAAAAAAYABgBZAQAAe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sz w:val="32"/>
        <w:szCs w:val="48"/>
        <w:lang w:eastAsia="zh-CN"/>
      </w:rPr>
      <w:tab/>
    </w:r>
    <w:r>
      <w:rPr>
        <w:rFonts w:hint="eastAsia" w:eastAsia="仿宋"/>
        <w:sz w:val="32"/>
        <w:szCs w:val="48"/>
        <w:lang w:eastAsia="zh-CN"/>
      </w:rPr>
      <w:tab/>
    </w:r>
    <w:r>
      <w:rPr>
        <w:rFonts w:hint="eastAsia" w:eastAsia="仿宋"/>
        <w:sz w:val="32"/>
        <w:szCs w:val="48"/>
        <w:lang w:eastAsia="zh-CN"/>
      </w:rPr>
      <w:tab/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黄山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>市人民政府</w:t>
    </w:r>
    <w:r>
      <w:rPr>
        <w:rFonts w:hint="eastAsia" w:ascii="宋体" w:hAnsi="宋体" w:cs="宋体"/>
        <w:b/>
        <w:bCs/>
        <w:color w:val="005192"/>
        <w:sz w:val="28"/>
        <w:szCs w:val="44"/>
        <w:lang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>发布</w:t>
    </w:r>
    <w:r>
      <w:rPr>
        <w:rFonts w:hint="eastAsia" w:eastAsia="仿宋"/>
        <w:sz w:val="32"/>
        <w:szCs w:val="48"/>
        <w:lang w:eastAsia="zh-CN"/>
      </w:rPr>
      <w:tab/>
    </w:r>
    <w:r>
      <w:rPr>
        <w:rFonts w:hint="eastAsia" w:eastAsia="仿宋"/>
        <w:sz w:val="32"/>
        <w:szCs w:val="48"/>
        <w:lang w:eastAsia="zh-CN"/>
      </w:rPr>
      <w:tab/>
    </w:r>
  </w:p>
  <w:p>
    <w:pPr>
      <w:pStyle w:val="11"/>
      <w:tabs>
        <w:tab w:val="left" w:pos="4719"/>
      </w:tabs>
      <w:ind w:left="4788" w:leftChars="2280" w:firstLine="6400" w:firstLineChars="2000"/>
      <w:rPr>
        <w:rFonts w:ascii="宋体" w:hAnsi="宋体" w:eastAsia="宋体" w:cs="宋体"/>
        <w:b/>
        <w:bCs/>
        <w:color w:val="005192"/>
        <w:sz w:val="28"/>
        <w:szCs w:val="44"/>
      </w:rPr>
    </w:pPr>
    <w:r>
      <w:rPr>
        <w:rFonts w:hint="eastAsia" w:eastAsia="仿宋"/>
        <w:sz w:val="32"/>
        <w:szCs w:val="48"/>
        <w:lang w:eastAsia="zh-CN"/>
      </w:rPr>
      <w:tab/>
    </w:r>
    <w:r>
      <w:rPr>
        <w:rFonts w:hint="eastAsia" w:eastAsia="仿宋"/>
        <w:sz w:val="32"/>
        <w:szCs w:val="48"/>
      </w:rPr>
      <w:t xml:space="preserve">  </w:t>
    </w:r>
    <w:r>
      <w:rPr>
        <w:rFonts w:hint="eastAsia" w:ascii="宋体" w:hAnsi="宋体" w:eastAsia="宋体" w:cs="宋体"/>
        <w:b/>
        <w:bCs/>
        <w:color w:val="005192"/>
        <w:sz w:val="28"/>
        <w:szCs w:val="44"/>
      </w:rPr>
      <w:t xml:space="preserve">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textAlignment w:val="center"/>
      <w:rPr>
        <w:rFonts w:ascii="宋体" w:hAnsi="宋体" w:eastAsia="宋体" w:cs="宋体"/>
        <w:b/>
        <w:bCs/>
        <w:color w:val="005192"/>
        <w:sz w:val="32"/>
        <w:szCs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-635</wp:posOffset>
              </wp:positionH>
              <wp:positionV relativeFrom="page">
                <wp:posOffset>1102995</wp:posOffset>
              </wp:positionV>
              <wp:extent cx="5616575" cy="1905"/>
              <wp:effectExtent l="0" t="10795" r="3175" b="15875"/>
              <wp:wrapTopAndBottom/>
              <wp:docPr id="21" name="直接连接符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86.85pt;height:0.15pt;width:442.25pt;mso-position-vertical-relative:page;mso-wrap-distance-bottom:0pt;mso-wrap-distance-top:0pt;z-index:251666432;mso-width-relative:page;mso-height-relative:page;" filled="f" stroked="t" coordsize="21600,21600" o:gfxdata="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mgFBL1gAAAAkB&#10;AAAPAAAAAAAAAAEAIAAAADgAAABkcnMvZG93bnJldi54bWxQSwECFAAUAAAACACHTuJAhAn/784B&#10;AABpAwAADgAAAAAAAAABACAAAAA7AQAAZHJzL2Uyb0RvYy54bWxQSwUGAAAAAAYABgBZAQAAewUA&#10;AAAA&#10;">
              <v:fill on="f" focussize="0,0"/>
              <v:stroke weight="1.75pt" color="#005192 [3204]" miterlimit="8" joinstyle="miter"/>
              <v:imagedata o:title=""/>
              <o:lock v:ext="edit" aspectratio="f"/>
              <w10:wrap type="topAndBottom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true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true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eastAsia="zh-CN"/>
      </w:rPr>
      <w:t>黄山</w:t>
    </w:r>
    <w:r>
      <w:rPr>
        <w:rFonts w:hint="eastAsia" w:ascii="宋体" w:hAnsi="宋体" w:eastAsia="宋体" w:cs="宋体"/>
        <w:b/>
        <w:bCs/>
        <w:color w:val="005192"/>
        <w:sz w:val="32"/>
        <w:szCs w:val="32"/>
      </w:rPr>
      <w:t>市人民政府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eastAsia="zh-CN"/>
      </w:rPr>
      <w:t>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1A244C"/>
    <w:rsid w:val="00C21F50"/>
    <w:rsid w:val="00C614A6"/>
    <w:rsid w:val="019E71BD"/>
    <w:rsid w:val="04B679C3"/>
    <w:rsid w:val="080F63D8"/>
    <w:rsid w:val="09341458"/>
    <w:rsid w:val="0B0912D7"/>
    <w:rsid w:val="0B7D65FC"/>
    <w:rsid w:val="152D2DCA"/>
    <w:rsid w:val="17FF6A0B"/>
    <w:rsid w:val="1DEC284C"/>
    <w:rsid w:val="1E6523AC"/>
    <w:rsid w:val="22440422"/>
    <w:rsid w:val="27077982"/>
    <w:rsid w:val="2BBD07DD"/>
    <w:rsid w:val="31A15F24"/>
    <w:rsid w:val="395347B5"/>
    <w:rsid w:val="39A232A0"/>
    <w:rsid w:val="39E745AA"/>
    <w:rsid w:val="3B5A6BBB"/>
    <w:rsid w:val="3CECFB30"/>
    <w:rsid w:val="3EDA13A6"/>
    <w:rsid w:val="3FBF015B"/>
    <w:rsid w:val="3FEDB706"/>
    <w:rsid w:val="3FFFD2C6"/>
    <w:rsid w:val="42F058B7"/>
    <w:rsid w:val="436109F6"/>
    <w:rsid w:val="441A38D4"/>
    <w:rsid w:val="4BC77339"/>
    <w:rsid w:val="4C9236C5"/>
    <w:rsid w:val="505C172E"/>
    <w:rsid w:val="52F46F0B"/>
    <w:rsid w:val="53D8014D"/>
    <w:rsid w:val="55E064E0"/>
    <w:rsid w:val="572C6D10"/>
    <w:rsid w:val="5DC34279"/>
    <w:rsid w:val="5EBFF57E"/>
    <w:rsid w:val="5F4A1193"/>
    <w:rsid w:val="5FFF3173"/>
    <w:rsid w:val="608816D1"/>
    <w:rsid w:val="60EF4E7F"/>
    <w:rsid w:val="629D8E0A"/>
    <w:rsid w:val="665233C1"/>
    <w:rsid w:val="67A020DA"/>
    <w:rsid w:val="67F3476A"/>
    <w:rsid w:val="6AD9688B"/>
    <w:rsid w:val="6BFE0CED"/>
    <w:rsid w:val="6D0E3F22"/>
    <w:rsid w:val="6DFD9271"/>
    <w:rsid w:val="6FFD085F"/>
    <w:rsid w:val="75FD9FF7"/>
    <w:rsid w:val="776D9A4A"/>
    <w:rsid w:val="7B160C75"/>
    <w:rsid w:val="7B2F89FD"/>
    <w:rsid w:val="7C9011D9"/>
    <w:rsid w:val="7DC651C5"/>
    <w:rsid w:val="7DFCC429"/>
    <w:rsid w:val="7EDAE488"/>
    <w:rsid w:val="7FBF7B03"/>
    <w:rsid w:val="7FCC2834"/>
    <w:rsid w:val="7FD617F4"/>
    <w:rsid w:val="7FF7C8FB"/>
    <w:rsid w:val="7FF8A6B0"/>
    <w:rsid w:val="7FFD0266"/>
    <w:rsid w:val="7FFEBE51"/>
    <w:rsid w:val="7FFFD082"/>
    <w:rsid w:val="8D6E52C4"/>
    <w:rsid w:val="8F6E4B31"/>
    <w:rsid w:val="9DFF788F"/>
    <w:rsid w:val="AEEF45E2"/>
    <w:rsid w:val="C9FC2132"/>
    <w:rsid w:val="DDF5F0E0"/>
    <w:rsid w:val="DEFB6250"/>
    <w:rsid w:val="DFFB2C93"/>
    <w:rsid w:val="E7BFC6B7"/>
    <w:rsid w:val="EBFEBC0F"/>
    <w:rsid w:val="F36FDE65"/>
    <w:rsid w:val="F5FA2B2A"/>
    <w:rsid w:val="F656D6E5"/>
    <w:rsid w:val="F67E36F1"/>
    <w:rsid w:val="F7BF4E61"/>
    <w:rsid w:val="F9B9612C"/>
    <w:rsid w:val="FAEFB9CD"/>
    <w:rsid w:val="FB9ED17B"/>
    <w:rsid w:val="FBD7D598"/>
    <w:rsid w:val="FBED91C0"/>
    <w:rsid w:val="FDEF3A53"/>
    <w:rsid w:val="FFFBB131"/>
    <w:rsid w:val="FFFEA212"/>
    <w:rsid w:val="FFFF6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20">
    <w:name w:val="Default Paragraph Font"/>
    <w:unhideWhenUsed/>
    <w:qFormat/>
    <w:uiPriority w:val="1"/>
  </w:style>
  <w:style w:type="table" w:default="1" w:styleId="1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spacing w:line="560" w:lineRule="exact"/>
      <w:ind w:firstLine="200" w:firstLineChars="200"/>
    </w:pPr>
    <w:rPr>
      <w:rFonts w:eastAsia="仿宋_GB2312"/>
      <w:b/>
      <w:color w:val="000000"/>
      <w:sz w:val="32"/>
      <w:szCs w:val="24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next w:val="6"/>
    <w:qFormat/>
    <w:uiPriority w:val="0"/>
    <w:pPr>
      <w:spacing w:before="0" w:after="140" w:line="276" w:lineRule="auto"/>
    </w:p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Body Text Indent"/>
    <w:basedOn w:val="1"/>
    <w:next w:val="3"/>
    <w:semiHidden/>
    <w:qFormat/>
    <w:uiPriority w:val="99"/>
    <w:pPr>
      <w:spacing w:after="120"/>
      <w:ind w:left="420" w:leftChars="200"/>
    </w:pPr>
  </w:style>
  <w:style w:type="paragraph" w:styleId="8">
    <w:name w:val="Plain Text"/>
    <w:basedOn w:val="1"/>
    <w:qFormat/>
    <w:uiPriority w:val="0"/>
    <w:rPr>
      <w:rFonts w:ascii="Calibri" w:hAnsi="Calibri"/>
      <w:szCs w:val="21"/>
    </w:rPr>
  </w:style>
  <w:style w:type="paragraph" w:styleId="9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</w:style>
  <w:style w:type="paragraph" w:styleId="10">
    <w:name w:val="Balloon Text"/>
    <w:basedOn w:val="1"/>
    <w:link w:val="23"/>
    <w:qFormat/>
    <w:uiPriority w:val="0"/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toc 1"/>
    <w:basedOn w:val="1"/>
    <w:next w:val="1"/>
    <w:qFormat/>
    <w:uiPriority w:val="0"/>
  </w:style>
  <w:style w:type="paragraph" w:styleId="1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qFormat/>
    <w:uiPriority w:val="0"/>
    <w:pPr>
      <w:jc w:val="center"/>
      <w:outlineLvl w:val="0"/>
    </w:pPr>
    <w:rPr>
      <w:rFonts w:ascii="Arial" w:hAnsi="Arial" w:eastAsia="宋体"/>
      <w:b/>
    </w:rPr>
  </w:style>
  <w:style w:type="paragraph" w:styleId="16">
    <w:name w:val="Body Text First Indent"/>
    <w:basedOn w:val="5"/>
    <w:qFormat/>
    <w:uiPriority w:val="0"/>
    <w:pPr>
      <w:spacing w:after="0"/>
      <w:ind w:firstLine="420"/>
    </w:pPr>
    <w:rPr>
      <w:sz w:val="32"/>
    </w:rPr>
  </w:style>
  <w:style w:type="paragraph" w:styleId="17">
    <w:name w:val="Body Text First Indent 2"/>
    <w:basedOn w:val="7"/>
    <w:next w:val="7"/>
    <w:qFormat/>
    <w:uiPriority w:val="99"/>
    <w:pPr>
      <w:ind w:firstLine="420" w:firstLineChars="200"/>
    </w:pPr>
  </w:style>
  <w:style w:type="table" w:styleId="19">
    <w:name w:val="Table Grid"/>
    <w:basedOn w:val="18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annotation reference"/>
    <w:basedOn w:val="20"/>
    <w:qFormat/>
    <w:uiPriority w:val="0"/>
    <w:rPr>
      <w:sz w:val="21"/>
      <w:szCs w:val="21"/>
    </w:rPr>
  </w:style>
  <w:style w:type="paragraph" w:customStyle="1" w:styleId="22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character" w:customStyle="1" w:styleId="23">
    <w:name w:val="批注框文本 Char"/>
    <w:basedOn w:val="20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4">
    <w:name w:val="正文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NormalCharacter"/>
    <w:semiHidden/>
    <w:qFormat/>
    <w:uiPriority w:val="0"/>
    <w:rPr>
      <w:rFonts w:eastAsia="方正仿宋_GBK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653</Words>
  <Characters>878</Characters>
  <Lines>5</Lines>
  <Paragraphs>1</Paragraphs>
  <TotalTime>10</TotalTime>
  <ScaleCrop>false</ScaleCrop>
  <LinksUpToDate>false</LinksUpToDate>
  <CharactersWithSpaces>913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2021-09-19T02:41:00Z</dcterms:created>
  <dc:creator>t</dc:creator>
  <cp:lastModifiedBy>sugon</cp:lastModifiedBy>
  <cp:lastPrinted>2021-11-05T03:30:00Z</cp:lastPrinted>
  <dcterms:modified xsi:type="dcterms:W3CDTF">2024-12-31T16:34:12Z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48C61CB29D3F4D9384F5922CF0F7FFB4</vt:lpwstr>
  </property>
</Properties>
</file>